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15C3AA" w14:textId="77777777" w:rsidR="006C666D" w:rsidRPr="006C666D" w:rsidRDefault="006C666D" w:rsidP="006C666D">
      <w:pPr>
        <w:widowControl/>
        <w:shd w:val="clear" w:color="auto" w:fill="FFFFFF"/>
        <w:spacing w:after="420"/>
        <w:jc w:val="center"/>
        <w:rPr>
          <w:rFonts w:ascii="微软雅黑" w:eastAsia="微软雅黑" w:hAnsi="微软雅黑" w:cs="宋体"/>
          <w:color w:val="328AD1"/>
          <w:kern w:val="0"/>
          <w:sz w:val="48"/>
          <w:szCs w:val="48"/>
        </w:rPr>
      </w:pPr>
      <w:r w:rsidRPr="006C666D">
        <w:rPr>
          <w:rFonts w:ascii="微软雅黑" w:eastAsia="微软雅黑" w:hAnsi="微软雅黑" w:cs="宋体" w:hint="eastAsia"/>
          <w:color w:val="328AD1"/>
          <w:kern w:val="0"/>
          <w:sz w:val="48"/>
          <w:szCs w:val="48"/>
        </w:rPr>
        <w:t>关于印发《四川省省本级企业职工职业技能培训实施办法》的通知</w:t>
      </w:r>
    </w:p>
    <w:tbl>
      <w:tblPr>
        <w:tblW w:w="2980" w:type="dxa"/>
        <w:tblCellSpacing w:w="15" w:type="dxa"/>
        <w:tblCellMar>
          <w:top w:w="15" w:type="dxa"/>
          <w:left w:w="15" w:type="dxa"/>
          <w:bottom w:w="15" w:type="dxa"/>
          <w:right w:w="15" w:type="dxa"/>
        </w:tblCellMar>
        <w:tblLook w:val="04A0" w:firstRow="1" w:lastRow="0" w:firstColumn="1" w:lastColumn="0" w:noHBand="0" w:noVBand="1"/>
      </w:tblPr>
      <w:tblGrid>
        <w:gridCol w:w="2980"/>
      </w:tblGrid>
      <w:tr w:rsidR="000A39FC" w:rsidRPr="006C666D" w14:paraId="7F341F1C" w14:textId="77777777" w:rsidTr="000A39FC">
        <w:trPr>
          <w:tblCellSpacing w:w="15" w:type="dxa"/>
        </w:trPr>
        <w:tc>
          <w:tcPr>
            <w:tcW w:w="0" w:type="auto"/>
            <w:vAlign w:val="center"/>
            <w:hideMark/>
          </w:tcPr>
          <w:p w14:paraId="43D28B3B" w14:textId="35634159" w:rsidR="000A39FC" w:rsidRPr="006C666D" w:rsidRDefault="000A39FC" w:rsidP="006C666D">
            <w:pPr>
              <w:widowControl/>
              <w:spacing w:after="225"/>
              <w:jc w:val="left"/>
              <w:rPr>
                <w:rFonts w:ascii="宋体" w:eastAsia="宋体" w:hAnsi="宋体" w:cs="宋体"/>
                <w:kern w:val="0"/>
                <w:sz w:val="24"/>
                <w:szCs w:val="24"/>
              </w:rPr>
            </w:pPr>
          </w:p>
        </w:tc>
      </w:tr>
    </w:tbl>
    <w:p w14:paraId="0D9A7CB8" w14:textId="77777777" w:rsidR="006C666D" w:rsidRPr="006C666D" w:rsidRDefault="006C666D" w:rsidP="006C666D">
      <w:pPr>
        <w:widowControl/>
        <w:shd w:val="clear" w:color="auto" w:fill="FFFFFF"/>
        <w:spacing w:line="580" w:lineRule="atLeast"/>
        <w:jc w:val="center"/>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川人社函〔2020〕267号</w:t>
      </w:r>
    </w:p>
    <w:p w14:paraId="7AAF68F2" w14:textId="77777777" w:rsidR="006C666D" w:rsidRPr="006C666D" w:rsidRDefault="006C666D" w:rsidP="006C666D">
      <w:pPr>
        <w:widowControl/>
        <w:shd w:val="clear" w:color="auto" w:fill="FFFFFF"/>
        <w:spacing w:line="580" w:lineRule="atLeast"/>
        <w:jc w:val="center"/>
        <w:rPr>
          <w:rFonts w:ascii="Calibri" w:eastAsia="微软雅黑" w:hAnsi="Calibri" w:cs="Calibri"/>
          <w:color w:val="000000"/>
          <w:kern w:val="0"/>
          <w:szCs w:val="21"/>
        </w:rPr>
      </w:pPr>
    </w:p>
    <w:p w14:paraId="3659FE68" w14:textId="77777777" w:rsidR="006C666D" w:rsidRPr="006C666D" w:rsidRDefault="006C666D" w:rsidP="006C666D">
      <w:pPr>
        <w:widowControl/>
        <w:shd w:val="clear" w:color="auto" w:fill="FFFFFF"/>
        <w:spacing w:line="580" w:lineRule="atLeas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省属及以上企业，省直相关部门：</w:t>
      </w:r>
    </w:p>
    <w:p w14:paraId="3581A43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为深入贯彻落实《四川省人民政府办公厅关于印发四川省职业技能提升行动实施方案（2019—2021年）的通知》（川办发〔2019〕55号）精神，做好省本级职业技能提升行动，现将《四川省省本级企业职工职业技能培训实施办法》印发你们，请遵照执行。</w:t>
      </w:r>
    </w:p>
    <w:p w14:paraId="49868470" w14:textId="77777777" w:rsidR="006C666D" w:rsidRPr="006C666D" w:rsidRDefault="006C666D" w:rsidP="006C666D">
      <w:pPr>
        <w:widowControl/>
        <w:shd w:val="clear" w:color="auto" w:fill="FFFFFF"/>
        <w:spacing w:line="580" w:lineRule="atLeas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p>
    <w:p w14:paraId="48939314" w14:textId="77777777" w:rsidR="006C666D" w:rsidRPr="006C666D" w:rsidRDefault="006C666D" w:rsidP="006C666D">
      <w:pPr>
        <w:widowControl/>
        <w:shd w:val="clear" w:color="auto" w:fill="FFFFFF"/>
        <w:spacing w:line="580" w:lineRule="atLeas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p>
    <w:p w14:paraId="607E50AA" w14:textId="77777777" w:rsidR="006C666D" w:rsidRPr="006C666D" w:rsidRDefault="006C666D" w:rsidP="006C666D">
      <w:pPr>
        <w:widowControl/>
        <w:shd w:val="clear" w:color="auto" w:fill="FFFFFF"/>
        <w:spacing w:line="580" w:lineRule="atLeast"/>
        <w:jc w:val="righ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四川省人力资源和社会保障厅</w:t>
      </w:r>
    </w:p>
    <w:p w14:paraId="68E960E6" w14:textId="77777777" w:rsidR="006C666D" w:rsidRPr="006C666D" w:rsidRDefault="006C666D" w:rsidP="006C666D">
      <w:pPr>
        <w:widowControl/>
        <w:shd w:val="clear" w:color="auto" w:fill="FFFFFF"/>
        <w:spacing w:line="580" w:lineRule="atLeast"/>
        <w:jc w:val="righ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四川省财政厅</w:t>
      </w:r>
    </w:p>
    <w:p w14:paraId="5C373AE9" w14:textId="77777777" w:rsidR="006C666D" w:rsidRPr="006C666D" w:rsidRDefault="006C666D" w:rsidP="006C666D">
      <w:pPr>
        <w:widowControl/>
        <w:shd w:val="clear" w:color="auto" w:fill="FFFFFF"/>
        <w:spacing w:line="580" w:lineRule="atLeast"/>
        <w:jc w:val="righ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2020年5月29日</w:t>
      </w:r>
    </w:p>
    <w:p w14:paraId="4DDBD0F0" w14:textId="77777777" w:rsidR="006C666D" w:rsidRPr="006C666D" w:rsidRDefault="006C666D" w:rsidP="006C666D">
      <w:pPr>
        <w:widowControl/>
        <w:shd w:val="clear" w:color="auto" w:fill="FFFFFF"/>
        <w:spacing w:line="580" w:lineRule="atLeas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p>
    <w:p w14:paraId="04EB6E4B" w14:textId="2E45F5A1" w:rsidR="006C666D" w:rsidRDefault="006C666D" w:rsidP="006C666D">
      <w:pPr>
        <w:widowControl/>
        <w:shd w:val="clear" w:color="auto" w:fill="FFFFFF"/>
        <w:spacing w:line="580" w:lineRule="atLeast"/>
        <w:rPr>
          <w:rFonts w:ascii="仿宋" w:eastAsia="仿宋" w:hAnsi="仿宋" w:cs="Calibri"/>
          <w:color w:val="000000"/>
          <w:kern w:val="0"/>
          <w:sz w:val="32"/>
          <w:szCs w:val="32"/>
        </w:rPr>
      </w:pPr>
      <w:r w:rsidRPr="006C666D">
        <w:rPr>
          <w:rFonts w:ascii="仿宋" w:eastAsia="仿宋" w:hAnsi="仿宋" w:cs="Calibri" w:hint="eastAsia"/>
          <w:color w:val="000000"/>
          <w:kern w:val="0"/>
          <w:sz w:val="32"/>
          <w:szCs w:val="32"/>
        </w:rPr>
        <w:t> </w:t>
      </w:r>
      <w:r w:rsidR="00D47BF4">
        <w:rPr>
          <w:rFonts w:ascii="仿宋" w:eastAsia="仿宋" w:hAnsi="仿宋" w:cs="Calibri" w:hint="eastAsia"/>
          <w:color w:val="000000"/>
          <w:kern w:val="0"/>
          <w:sz w:val="32"/>
          <w:szCs w:val="32"/>
        </w:rPr>
        <w:t>文件来源：四川省人力资源与社会保障厅网站</w:t>
      </w:r>
    </w:p>
    <w:p w14:paraId="4CECE1B4" w14:textId="103E78A0" w:rsidR="00D47BF4" w:rsidRDefault="00D47BF4" w:rsidP="006C666D">
      <w:pPr>
        <w:widowControl/>
        <w:shd w:val="clear" w:color="auto" w:fill="FFFFFF"/>
        <w:spacing w:line="580" w:lineRule="atLeast"/>
        <w:rPr>
          <w:rFonts w:ascii="仿宋" w:eastAsia="仿宋" w:hAnsi="仿宋" w:cs="Calibri" w:hint="eastAsia"/>
          <w:color w:val="000000"/>
          <w:kern w:val="0"/>
          <w:sz w:val="32"/>
          <w:szCs w:val="32"/>
        </w:rPr>
      </w:pPr>
      <w:r w:rsidRPr="00D47BF4">
        <w:rPr>
          <w:rFonts w:ascii="仿宋" w:eastAsia="仿宋" w:hAnsi="仿宋" w:cs="Calibri"/>
          <w:color w:val="000000"/>
          <w:kern w:val="0"/>
          <w:sz w:val="32"/>
          <w:szCs w:val="32"/>
        </w:rPr>
        <w:t>http://rst.sc.gov.cn//rst/zyjntszcwj/2020/6/9/be0ed5c06de84d7ba1f964e192594f2b.shtml</w:t>
      </w:r>
    </w:p>
    <w:p w14:paraId="137F3322" w14:textId="11D952D5" w:rsidR="00D47BF4" w:rsidRDefault="00D47BF4" w:rsidP="006C666D">
      <w:pPr>
        <w:widowControl/>
        <w:shd w:val="clear" w:color="auto" w:fill="FFFFFF"/>
        <w:spacing w:line="580" w:lineRule="atLeast"/>
        <w:rPr>
          <w:rFonts w:ascii="仿宋" w:eastAsia="仿宋" w:hAnsi="仿宋" w:cs="Calibri"/>
          <w:color w:val="000000"/>
          <w:kern w:val="0"/>
          <w:sz w:val="32"/>
          <w:szCs w:val="32"/>
        </w:rPr>
      </w:pPr>
    </w:p>
    <w:p w14:paraId="594B60B0" w14:textId="3BC91954" w:rsidR="00D47BF4" w:rsidRDefault="00D47BF4" w:rsidP="006C666D">
      <w:pPr>
        <w:widowControl/>
        <w:shd w:val="clear" w:color="auto" w:fill="FFFFFF"/>
        <w:spacing w:line="580" w:lineRule="atLeast"/>
        <w:rPr>
          <w:rFonts w:ascii="仿宋" w:eastAsia="仿宋" w:hAnsi="仿宋" w:cs="Calibri"/>
          <w:color w:val="000000"/>
          <w:kern w:val="0"/>
          <w:sz w:val="32"/>
          <w:szCs w:val="32"/>
        </w:rPr>
      </w:pPr>
    </w:p>
    <w:p w14:paraId="2CDD79BE" w14:textId="479439C7" w:rsidR="00D47BF4" w:rsidRDefault="00D47BF4" w:rsidP="006C666D">
      <w:pPr>
        <w:widowControl/>
        <w:shd w:val="clear" w:color="auto" w:fill="FFFFFF"/>
        <w:spacing w:line="580" w:lineRule="atLeast"/>
        <w:rPr>
          <w:rFonts w:ascii="仿宋" w:eastAsia="仿宋" w:hAnsi="仿宋" w:cs="Calibri"/>
          <w:color w:val="000000"/>
          <w:kern w:val="0"/>
          <w:sz w:val="32"/>
          <w:szCs w:val="32"/>
        </w:rPr>
      </w:pPr>
    </w:p>
    <w:p w14:paraId="1C795346" w14:textId="77777777" w:rsidR="00D47BF4" w:rsidRPr="006C666D" w:rsidRDefault="00D47BF4" w:rsidP="006C666D">
      <w:pPr>
        <w:widowControl/>
        <w:shd w:val="clear" w:color="auto" w:fill="FFFFFF"/>
        <w:spacing w:line="580" w:lineRule="atLeast"/>
        <w:rPr>
          <w:rFonts w:ascii="Calibri" w:eastAsia="微软雅黑" w:hAnsi="Calibri" w:cs="Calibri" w:hint="eastAsia"/>
          <w:color w:val="000000"/>
          <w:kern w:val="0"/>
          <w:szCs w:val="21"/>
        </w:rPr>
      </w:pPr>
    </w:p>
    <w:p w14:paraId="56F2E453" w14:textId="77777777" w:rsidR="006C666D" w:rsidRPr="006C666D" w:rsidRDefault="006C666D" w:rsidP="006C666D">
      <w:pPr>
        <w:widowControl/>
        <w:shd w:val="clear" w:color="auto" w:fill="FFFFFF"/>
        <w:spacing w:line="580" w:lineRule="atLeast"/>
        <w:jc w:val="center"/>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四川省省本级企业职工职业技能培训实施办法</w:t>
      </w:r>
    </w:p>
    <w:p w14:paraId="3F2E1D05" w14:textId="77777777" w:rsidR="006C666D" w:rsidRPr="006C666D" w:rsidRDefault="006C666D" w:rsidP="006C666D">
      <w:pPr>
        <w:widowControl/>
        <w:shd w:val="clear" w:color="auto" w:fill="FFFFFF"/>
        <w:spacing w:line="580" w:lineRule="atLeast"/>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p>
    <w:p w14:paraId="671C0CA0"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为深入实施省本级职业技能提升行动，支持省属及以上企业（以下简称“省以上企业”）组织开展职工职业技能培训和综合性培训，不断提升职工能力水平，按照我省职业技能提升行动总体部署和中央、省职业技能提升行动专账资金管理的有关要求，制定本办法。</w:t>
      </w:r>
    </w:p>
    <w:p w14:paraId="3A1D3EBA"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一、培训对象</w:t>
      </w:r>
    </w:p>
    <w:p w14:paraId="0EFC2EEE"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省以上企业有培训意愿的在岗职工（含在企业工作的劳务派遣人员）。</w:t>
      </w:r>
    </w:p>
    <w:p w14:paraId="7BA10D44"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二、培训项目</w:t>
      </w:r>
    </w:p>
    <w:p w14:paraId="6C86DB5E"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（一）企业职工岗前培训。</w:t>
      </w:r>
    </w:p>
    <w:p w14:paraId="0C9A941F"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对于企业新招用人员，与企业签订1年以上期限劳动合同、并参加社会保险的，于签订劳动合同之日起1年内参加企业组织的岗前培训，按500元/人标准给予企业培训补贴。培训时间不低于40课时。</w:t>
      </w:r>
    </w:p>
    <w:p w14:paraId="21311D30"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（二）在岗培训和岗位技能提升培训。</w:t>
      </w:r>
    </w:p>
    <w:p w14:paraId="74398F8E"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1.技能型培训。对企业组织职工开展在岗技能培训和岗位技能提升培训，培训合格并取得证书（含职业资格证书、职业技能等级证书、专项职业能力证书、特种作业操作证书、</w:t>
      </w:r>
      <w:r w:rsidRPr="006C666D">
        <w:rPr>
          <w:rFonts w:ascii="仿宋" w:eastAsia="仿宋" w:hAnsi="仿宋" w:cs="Calibri" w:hint="eastAsia"/>
          <w:color w:val="000000"/>
          <w:kern w:val="0"/>
          <w:sz w:val="32"/>
          <w:szCs w:val="32"/>
        </w:rPr>
        <w:lastRenderedPageBreak/>
        <w:t>培训合格证书等，下同）的，按2400元/人标准给予企业培训补贴。培训时间不低于120课时，其中实训操作课时应占培训总课时的60%以上。</w:t>
      </w:r>
    </w:p>
    <w:p w14:paraId="5F45219C"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2.综合性培训。对企业组织职工参加通用职业素质培训、岗位练兵、技能竞赛等，培训合格并取得证书的，按700元/人标准给予企业培训补贴。培训时间不低于40课时。</w:t>
      </w:r>
    </w:p>
    <w:p w14:paraId="7A275494"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（三）职工转岗转业培训。</w:t>
      </w:r>
    </w:p>
    <w:p w14:paraId="51E4BC15"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对困难企业以及煤炭、钢铁等去产能行业的职工开展转岗转业培训，培训合格并取得证书的，按1200元/人标准给予企业培训补贴。培训时间不低于40课时,其中实训操作课时应占培训总课时的60%以上。</w:t>
      </w:r>
    </w:p>
    <w:p w14:paraId="4F105775"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（四）新型学徒制培训。</w:t>
      </w:r>
    </w:p>
    <w:p w14:paraId="40F7F793"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对与企业签订1年以上期限劳动合同的技能岗位新招用人员和新转岗人员，并参加社会保险的，通过企校合作、工学交替方式，实施1至2年新型学徒制培训（其中：实训操作课时应占培训总课时的60%以上），参照《国家职业分类大典》分类，培训合格并取得证书的，按照每人每年不低于4000元的标准给予企业补贴。</w:t>
      </w:r>
    </w:p>
    <w:p w14:paraId="03E1949A"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1.生产、运输设备操作类职业（工种）：每人每年补贴6000元；</w:t>
      </w:r>
    </w:p>
    <w:p w14:paraId="000E9564"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2.商业、服务业等其它职业（工种）：每人每年补贴4000元；</w:t>
      </w:r>
    </w:p>
    <w:p w14:paraId="4A85CEB5"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lastRenderedPageBreak/>
        <w:t>3.符合《四川省人民政府办公厅关于印发&lt;四川省“十三五”战略性新兴产业发展规划&gt;的通知》（川府发〔2017〕8号）的职业（工种）：在以上标准基础上每人每年补贴增加1000元。</w:t>
      </w:r>
    </w:p>
    <w:p w14:paraId="0A57C422"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（五）高技能人才培训。</w:t>
      </w:r>
    </w:p>
    <w:p w14:paraId="640C0D50"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支持企业（或委托高技能人才培训机构）加大对企业生产一线岗位高技能人才培养力度，对开展高技能人才培训的，参照《国家职业分类大典》分类，培训合格并取得证书的，按规定给予职业培训补贴。对生产、运输设备操作类职业（工种）按照技师每人5000元、高级技师每人6000元的标准执行；对商业、服务业等其它职业（工种）按照技师每人3000元、高级技师每人4000元的标准执行。</w:t>
      </w:r>
    </w:p>
    <w:p w14:paraId="3D67A269"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（六）以工代训。</w:t>
      </w:r>
    </w:p>
    <w:p w14:paraId="4BCE62A5"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对企业吸纳就业困难人员、零就业家庭成员、贫困劳动力就业并开展以工代训的，按每人每月200元的标准给予企业最长不超过6个月的职业培训补贴。</w:t>
      </w:r>
    </w:p>
    <w:p w14:paraId="47AB3F3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三、培训实施</w:t>
      </w:r>
    </w:p>
    <w:p w14:paraId="0FA5E533"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企业职工参加职业技能培训的，由企业负责组织动员，制定培训方案，确定培训工种和人数、明确培训方式。企业可以依托自有技术力量开展自主培训，也可以通过企业自办培训机构开展培训，还可以委托具备资质并符合条件的院校、</w:t>
      </w:r>
      <w:r w:rsidRPr="006C666D">
        <w:rPr>
          <w:rFonts w:ascii="仿宋" w:eastAsia="仿宋" w:hAnsi="仿宋" w:cs="Calibri" w:hint="eastAsia"/>
          <w:color w:val="000000"/>
          <w:kern w:val="0"/>
          <w:sz w:val="32"/>
          <w:szCs w:val="32"/>
        </w:rPr>
        <w:lastRenderedPageBreak/>
        <w:t>就业训练中心和民办培训机构开展培训。培训方案报省就业服务管理局（以下简称“省就业局”）审核同意后实施。</w:t>
      </w:r>
    </w:p>
    <w:p w14:paraId="6A56876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企业组织职工培训，按照培训项目向省就业局提出书面开班申请，填报《企业职工职业技能培训开班申请表》（附件1），并提供参训学员花名册（附件2）、学员本人身份证复印件、劳动合同（或工资发放凭据）、参保信息、培训方案等资料，经审核同意后开班培训。培训结束后，企业按规定组织培训学员开展职业技能鉴定（职业技能等级认定、专项能力考核等）或组织结业考试，填写《企业职工职业技能培训结业申请表》（附件3）并报省就业局，经审核同意后结业。</w:t>
      </w:r>
    </w:p>
    <w:p w14:paraId="14965FC1"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四、培训补贴</w:t>
      </w:r>
    </w:p>
    <w:p w14:paraId="67E42BF4"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（一）补贴原则。</w:t>
      </w:r>
    </w:p>
    <w:p w14:paraId="37771C5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企业组织职工参加职业技能培训的，根据本办法确定的培训项目和工种补贴标准申请培训补贴。原则上每人每年可享受培训补贴不超过3次（同一职业同一等级一年内不可重复享受）。符合条件的企业职工还可按失业保险基金支持技能提升有关规定领取技能提升补贴。</w:t>
      </w:r>
    </w:p>
    <w:p w14:paraId="6F87E4C3"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（二）补贴资料申报。</w:t>
      </w:r>
    </w:p>
    <w:p w14:paraId="4B6009E5"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企业填报《企业职工职业技能培训补贴申请表》（附件4），并提供审核通过的培训方案，培训开班、结业等审核资料及相关证书资料，向省就业局申请培训补贴。</w:t>
      </w:r>
    </w:p>
    <w:p w14:paraId="3E68762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lastRenderedPageBreak/>
        <w:t>（三）培训补贴拨付。</w:t>
      </w:r>
    </w:p>
    <w:p w14:paraId="488A69F9"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1.为确保资金使用安全和培训补贴资金及时足额兑现，提升经办质效，省就业局可按照财政部门关于银行账户和资金存放管理的相关规定开设一个专用存款账户，对资金实行专户管理。</w:t>
      </w:r>
    </w:p>
    <w:p w14:paraId="01105632"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2.资金采取“先期预拨，据实结算”的方式，由省就业局根据省本级资金使用需求，向财政厅报送用款计划，财政厅按规定将资金从财政专户拨付至省就业局专用存款账户。</w:t>
      </w:r>
    </w:p>
    <w:p w14:paraId="6AC75C62"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3.符合补贴条件的企业向省就业局或通过网上服务大厅提出申请。申请材料经省就业局审核同意并公示无异议的，由省就业局按规定将补贴资金拨付到企业在银行开立的基本账户。培训补贴资金拨付到位后，申领补贴的企业向省就业局提供银行进账单作为付款凭证入账。</w:t>
      </w:r>
    </w:p>
    <w:p w14:paraId="7D2FF97C"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五、培训工作要求</w:t>
      </w:r>
    </w:p>
    <w:p w14:paraId="3483065B"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一）拓展培训内容。相关部门和企业要坚持稳定就业、服务发展导向，围绕四川“5+1”现代工业、“10+3”现代农业以及“4+6”现代服务业以及脱贫攻坚、乡村振兴等，引导承训机构进一步优化培训项目，科学设置培训内容，将新技术、新工艺、新材料、新标准纳入教学内容，强化理论教学和实操实训。并将职业道德、工匠精神、质量意识、安全生产、职业健康、就业创业能力、法律意识等内容贯穿职业技能培训全过程。</w:t>
      </w:r>
    </w:p>
    <w:p w14:paraId="219791B9"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lastRenderedPageBreak/>
        <w:t>（二）提升培训质量。相关部门应督促企业（培训机构）严格按照审定通过的培训方案组织实施培训工作，加强培训过程管理，做好培训过程记录，做到学习过程可查询、可追溯，随时接受随机抽查，承诺并确保培训过程真实有效。相关企业（培训机构）申报培训补贴的资料必须真实、完整，要做好各类资料的留存、归档、备查工作，并配合接受各类监督、审计。</w:t>
      </w:r>
    </w:p>
    <w:p w14:paraId="4EBE36AE"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三）做好宣传发动。相关企业（培训机构）应加大省本级技能提升行动宣传力度，及时发布有关政策及培训信息，引导符合条件的人员积极参与技能提升行动，提高政策的公众知晓度，用好用足政策，大力弘扬和培育工匠精神，营造技能就业、创业成才的良好环境。</w:t>
      </w:r>
    </w:p>
    <w:p w14:paraId="72448E32"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本实施办法自印发之日起执行，有效期至2021年12月31日，由人力资源社会保障厅、财政厅负责解释。</w:t>
      </w:r>
    </w:p>
    <w:p w14:paraId="4B0FFDF6"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联系人及联系方式：</w:t>
      </w:r>
    </w:p>
    <w:p w14:paraId="3F8EB27D"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联系人：王雯（18381737333）</w:t>
      </w:r>
    </w:p>
    <w:p w14:paraId="6062435E"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唐琳琳（18802808792）</w:t>
      </w:r>
    </w:p>
    <w:p w14:paraId="34BF64CF" w14:textId="77777777" w:rsidR="006C666D" w:rsidRPr="006C666D" w:rsidRDefault="006C666D" w:rsidP="006C666D">
      <w:pPr>
        <w:widowControl/>
        <w:shd w:val="clear" w:color="auto" w:fill="FFFFFF"/>
        <w:spacing w:line="580" w:lineRule="atLeast"/>
        <w:ind w:firstLine="640"/>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办公电话（传真）：028-87760481</w:t>
      </w:r>
    </w:p>
    <w:p w14:paraId="2D8B361D" w14:textId="77777777" w:rsidR="006C666D" w:rsidRPr="006C666D" w:rsidRDefault="006C666D" w:rsidP="006C666D">
      <w:pPr>
        <w:widowControl/>
        <w:shd w:val="clear" w:color="auto" w:fill="FFFFFF"/>
        <w:rPr>
          <w:rFonts w:ascii="Calibri" w:eastAsia="微软雅黑" w:hAnsi="Calibri" w:cs="Calibri"/>
          <w:color w:val="000000"/>
          <w:kern w:val="0"/>
          <w:szCs w:val="21"/>
        </w:rPr>
      </w:pPr>
      <w:r w:rsidRPr="006C666D">
        <w:rPr>
          <w:rFonts w:ascii="Calibri" w:eastAsia="微软雅黑" w:hAnsi="Calibri" w:cs="Calibri"/>
          <w:color w:val="000000"/>
          <w:kern w:val="0"/>
          <w:szCs w:val="21"/>
        </w:rPr>
        <w:t> </w:t>
      </w:r>
      <w:r w:rsidRPr="006C666D">
        <w:rPr>
          <w:rFonts w:ascii="仿宋" w:eastAsia="仿宋" w:hAnsi="仿宋" w:cs="Calibri" w:hint="eastAsia"/>
          <w:color w:val="000000"/>
          <w:kern w:val="0"/>
          <w:sz w:val="32"/>
          <w:szCs w:val="32"/>
        </w:rPr>
        <w:t>附件：1、</w:t>
      </w:r>
      <w:r w:rsidRPr="006C666D">
        <w:rPr>
          <w:rFonts w:ascii="仿宋" w:eastAsia="仿宋" w:hAnsi="仿宋" w:cs="Calibri"/>
          <w:noProof/>
          <w:color w:val="000000"/>
          <w:kern w:val="0"/>
          <w:sz w:val="32"/>
          <w:szCs w:val="32"/>
        </w:rPr>
        <w:drawing>
          <wp:inline distT="0" distB="0" distL="0" distR="0" wp14:anchorId="6A67EA8D" wp14:editId="2F9E2513">
            <wp:extent cx="152400" cy="152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7" w:tgtFrame="_blank" w:history="1">
        <w:r w:rsidRPr="006C666D">
          <w:rPr>
            <w:rFonts w:ascii="仿宋" w:eastAsia="仿宋" w:hAnsi="仿宋" w:cs="Calibri" w:hint="eastAsia"/>
            <w:color w:val="000000"/>
            <w:kern w:val="0"/>
            <w:sz w:val="32"/>
            <w:szCs w:val="32"/>
            <w:u w:val="single"/>
          </w:rPr>
          <w:t>企业职工职业技能培训开班申请表</w:t>
        </w:r>
      </w:hyperlink>
    </w:p>
    <w:p w14:paraId="50A7B300" w14:textId="77777777" w:rsidR="006C666D" w:rsidRPr="006C666D" w:rsidRDefault="006C666D" w:rsidP="006C666D">
      <w:pPr>
        <w:widowControl/>
        <w:shd w:val="clear" w:color="auto" w:fill="FFFFFF"/>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2、</w:t>
      </w:r>
      <w:r w:rsidRPr="006C666D">
        <w:rPr>
          <w:rFonts w:ascii="仿宋" w:eastAsia="仿宋" w:hAnsi="仿宋" w:cs="Calibri"/>
          <w:noProof/>
          <w:color w:val="000000"/>
          <w:kern w:val="0"/>
          <w:sz w:val="32"/>
          <w:szCs w:val="32"/>
        </w:rPr>
        <w:drawing>
          <wp:inline distT="0" distB="0" distL="0" distR="0" wp14:anchorId="61011B6C" wp14:editId="0285F00E">
            <wp:extent cx="152400" cy="152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8" w:tgtFrame="_blank" w:history="1">
        <w:r w:rsidRPr="006C666D">
          <w:rPr>
            <w:rFonts w:ascii="仿宋" w:eastAsia="仿宋" w:hAnsi="仿宋" w:cs="Calibri" w:hint="eastAsia"/>
            <w:color w:val="000000"/>
            <w:kern w:val="0"/>
            <w:sz w:val="32"/>
            <w:szCs w:val="32"/>
            <w:u w:val="single"/>
          </w:rPr>
          <w:t>企业职工职业技能培训学员花名册</w:t>
        </w:r>
      </w:hyperlink>
    </w:p>
    <w:p w14:paraId="4C8AF73E" w14:textId="77777777" w:rsidR="006C666D" w:rsidRPr="006C666D" w:rsidRDefault="006C666D" w:rsidP="006C666D">
      <w:pPr>
        <w:widowControl/>
        <w:shd w:val="clear" w:color="auto" w:fill="FFFFFF"/>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3、</w:t>
      </w:r>
      <w:r w:rsidRPr="006C666D">
        <w:rPr>
          <w:rFonts w:ascii="仿宋" w:eastAsia="仿宋" w:hAnsi="仿宋" w:cs="Calibri"/>
          <w:noProof/>
          <w:color w:val="000000"/>
          <w:kern w:val="0"/>
          <w:sz w:val="32"/>
          <w:szCs w:val="32"/>
        </w:rPr>
        <w:drawing>
          <wp:inline distT="0" distB="0" distL="0" distR="0" wp14:anchorId="6756F930" wp14:editId="0EA297CF">
            <wp:extent cx="152400" cy="15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9" w:tgtFrame="_blank" w:history="1">
        <w:r w:rsidRPr="006C666D">
          <w:rPr>
            <w:rFonts w:ascii="仿宋" w:eastAsia="仿宋" w:hAnsi="仿宋" w:cs="Calibri" w:hint="eastAsia"/>
            <w:color w:val="000000"/>
            <w:kern w:val="0"/>
            <w:sz w:val="32"/>
            <w:szCs w:val="32"/>
            <w:u w:val="single"/>
          </w:rPr>
          <w:t>企业职工职业技能培训结业申请表</w:t>
        </w:r>
      </w:hyperlink>
    </w:p>
    <w:p w14:paraId="0A3BE31D" w14:textId="77777777" w:rsidR="006C666D" w:rsidRPr="006C666D" w:rsidRDefault="006C666D" w:rsidP="006C666D">
      <w:pPr>
        <w:widowControl/>
        <w:shd w:val="clear" w:color="auto" w:fill="FFFFFF"/>
        <w:rPr>
          <w:rFonts w:ascii="Calibri" w:eastAsia="微软雅黑" w:hAnsi="Calibri" w:cs="Calibri"/>
          <w:color w:val="000000"/>
          <w:kern w:val="0"/>
          <w:szCs w:val="21"/>
        </w:rPr>
      </w:pP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 </w:t>
      </w:r>
      <w:r w:rsidRPr="006C666D">
        <w:rPr>
          <w:rFonts w:ascii="仿宋" w:eastAsia="仿宋" w:hAnsi="仿宋" w:cs="Calibri" w:hint="eastAsia"/>
          <w:color w:val="000000"/>
          <w:kern w:val="0"/>
          <w:sz w:val="32"/>
          <w:szCs w:val="32"/>
        </w:rPr>
        <w:t>4、</w:t>
      </w:r>
      <w:r w:rsidRPr="006C666D">
        <w:rPr>
          <w:rFonts w:ascii="仿宋" w:eastAsia="仿宋" w:hAnsi="仿宋" w:cs="Calibri"/>
          <w:noProof/>
          <w:color w:val="000000"/>
          <w:kern w:val="0"/>
          <w:sz w:val="32"/>
          <w:szCs w:val="32"/>
        </w:rPr>
        <w:drawing>
          <wp:inline distT="0" distB="0" distL="0" distR="0" wp14:anchorId="0EA6A3DD" wp14:editId="29E90996">
            <wp:extent cx="152400" cy="152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10" w:tgtFrame="_blank" w:history="1">
        <w:r w:rsidRPr="006C666D">
          <w:rPr>
            <w:rFonts w:ascii="仿宋" w:eastAsia="仿宋" w:hAnsi="仿宋" w:cs="Calibri" w:hint="eastAsia"/>
            <w:color w:val="000000"/>
            <w:kern w:val="0"/>
            <w:sz w:val="32"/>
            <w:szCs w:val="32"/>
            <w:u w:val="single"/>
          </w:rPr>
          <w:t>企业职工职业技能培训补贴申请表</w:t>
        </w:r>
      </w:hyperlink>
    </w:p>
    <w:p w14:paraId="36847DFE" w14:textId="77777777" w:rsidR="006C666D" w:rsidRPr="006C666D" w:rsidRDefault="006C666D" w:rsidP="006C666D">
      <w:pPr>
        <w:widowControl/>
        <w:shd w:val="clear" w:color="auto" w:fill="FFFFFF"/>
        <w:jc w:val="left"/>
        <w:rPr>
          <w:rFonts w:ascii="微软雅黑" w:eastAsia="微软雅黑" w:hAnsi="微软雅黑" w:cs="宋体"/>
          <w:color w:val="000000"/>
          <w:kern w:val="0"/>
          <w:sz w:val="24"/>
          <w:szCs w:val="24"/>
        </w:rPr>
      </w:pPr>
    </w:p>
    <w:p w14:paraId="13E2446E" w14:textId="77777777" w:rsidR="006C666D" w:rsidRPr="006C666D" w:rsidRDefault="006C666D" w:rsidP="006C666D">
      <w:pPr>
        <w:widowControl/>
        <w:shd w:val="clear" w:color="auto" w:fill="FFFFFF"/>
        <w:rPr>
          <w:rFonts w:ascii="Calibri" w:eastAsia="微软雅黑" w:hAnsi="Calibri" w:cs="Calibri"/>
          <w:color w:val="000000"/>
          <w:kern w:val="0"/>
          <w:szCs w:val="21"/>
        </w:rPr>
      </w:pPr>
      <w:r w:rsidRPr="006C666D">
        <w:rPr>
          <w:rFonts w:ascii="Calibri" w:eastAsia="微软雅黑" w:hAnsi="Calibri" w:cs="Calibri"/>
          <w:color w:val="000000"/>
          <w:kern w:val="0"/>
          <w:szCs w:val="21"/>
        </w:rPr>
        <w:t> </w:t>
      </w:r>
    </w:p>
    <w:p w14:paraId="5DAA39FC" w14:textId="77777777" w:rsidR="006C666D" w:rsidRDefault="006C666D"/>
    <w:sectPr w:rsidR="006C66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7D6A99" w14:textId="77777777" w:rsidR="00AE3DEE" w:rsidRDefault="00AE3DEE" w:rsidP="000A39FC">
      <w:r>
        <w:separator/>
      </w:r>
    </w:p>
  </w:endnote>
  <w:endnote w:type="continuationSeparator" w:id="0">
    <w:p w14:paraId="4B0769EA" w14:textId="77777777" w:rsidR="00AE3DEE" w:rsidRDefault="00AE3DEE" w:rsidP="000A3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B21C72" w14:textId="77777777" w:rsidR="00AE3DEE" w:rsidRDefault="00AE3DEE" w:rsidP="000A39FC">
      <w:r>
        <w:separator/>
      </w:r>
    </w:p>
  </w:footnote>
  <w:footnote w:type="continuationSeparator" w:id="0">
    <w:p w14:paraId="5F39DDB6" w14:textId="77777777" w:rsidR="00AE3DEE" w:rsidRDefault="00AE3DEE" w:rsidP="000A39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66D"/>
    <w:rsid w:val="000A39FC"/>
    <w:rsid w:val="002B4E07"/>
    <w:rsid w:val="006C666D"/>
    <w:rsid w:val="00AE3DEE"/>
    <w:rsid w:val="00D47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C1EC1"/>
  <w15:chartTrackingRefBased/>
  <w15:docId w15:val="{608D3394-3FD5-46DB-84AA-832F96B09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39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A39FC"/>
    <w:rPr>
      <w:sz w:val="18"/>
      <w:szCs w:val="18"/>
    </w:rPr>
  </w:style>
  <w:style w:type="paragraph" w:styleId="a5">
    <w:name w:val="footer"/>
    <w:basedOn w:val="a"/>
    <w:link w:val="a6"/>
    <w:uiPriority w:val="99"/>
    <w:unhideWhenUsed/>
    <w:rsid w:val="000A39FC"/>
    <w:pPr>
      <w:tabs>
        <w:tab w:val="center" w:pos="4153"/>
        <w:tab w:val="right" w:pos="8306"/>
      </w:tabs>
      <w:snapToGrid w:val="0"/>
      <w:jc w:val="left"/>
    </w:pPr>
    <w:rPr>
      <w:sz w:val="18"/>
      <w:szCs w:val="18"/>
    </w:rPr>
  </w:style>
  <w:style w:type="character" w:customStyle="1" w:styleId="a6">
    <w:name w:val="页脚 字符"/>
    <w:basedOn w:val="a0"/>
    <w:link w:val="a5"/>
    <w:uiPriority w:val="99"/>
    <w:rsid w:val="000A39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5098018">
      <w:bodyDiv w:val="1"/>
      <w:marLeft w:val="0"/>
      <w:marRight w:val="0"/>
      <w:marTop w:val="0"/>
      <w:marBottom w:val="0"/>
      <w:divBdr>
        <w:top w:val="none" w:sz="0" w:space="0" w:color="auto"/>
        <w:left w:val="none" w:sz="0" w:space="0" w:color="auto"/>
        <w:bottom w:val="none" w:sz="0" w:space="0" w:color="auto"/>
        <w:right w:val="none" w:sz="0" w:space="0" w:color="auto"/>
      </w:divBdr>
      <w:divsChild>
        <w:div w:id="966592830">
          <w:marLeft w:val="0"/>
          <w:marRight w:val="0"/>
          <w:marTop w:val="300"/>
          <w:marBottom w:val="0"/>
          <w:divBdr>
            <w:top w:val="none" w:sz="0" w:space="0" w:color="auto"/>
            <w:left w:val="none" w:sz="0" w:space="0" w:color="auto"/>
            <w:bottom w:val="dashed" w:sz="6" w:space="0" w:color="E0E7F0"/>
            <w:right w:val="none" w:sz="0" w:space="0" w:color="auto"/>
          </w:divBdr>
        </w:div>
        <w:div w:id="130246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st.sc.gov.cn/rst/zyjntszcwj/2020/6/9/be0ed5c06de84d7ba1f964e192594f2b/files/0ccc0999645240dc971b6dc41d040756.docx" TargetMode="External"/><Relationship Id="rId3" Type="http://schemas.openxmlformats.org/officeDocument/2006/relationships/webSettings" Target="webSettings.xml"/><Relationship Id="rId7" Type="http://schemas.openxmlformats.org/officeDocument/2006/relationships/hyperlink" Target="http://rst.sc.gov.cn/rst/zyjntszcwj/2020/6/9/be0ed5c06de84d7ba1f964e192594f2b/files/be2cae596d804c258ca77633bd9574e0.doc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rst.sc.gov.cn/rst/zyjntszcwj/2020/6/9/be0ed5c06de84d7ba1f964e192594f2b/files/815fede062df44019da88f6b66b689b9.docx" TargetMode="External"/><Relationship Id="rId4" Type="http://schemas.openxmlformats.org/officeDocument/2006/relationships/footnotes" Target="footnotes.xml"/><Relationship Id="rId9" Type="http://schemas.openxmlformats.org/officeDocument/2006/relationships/hyperlink" Target="http://rst.sc.gov.cn/rst/zyjntszcwj/2020/6/9/be0ed5c06de84d7ba1f964e192594f2b/files/5f118337981041a69902e876d8a280b2.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571</Words>
  <Characters>3259</Characters>
  <Application>Microsoft Office Word</Application>
  <DocSecurity>0</DocSecurity>
  <Lines>27</Lines>
  <Paragraphs>7</Paragraphs>
  <ScaleCrop>false</ScaleCrop>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3</cp:revision>
  <dcterms:created xsi:type="dcterms:W3CDTF">2020-09-14T01:40:00Z</dcterms:created>
  <dcterms:modified xsi:type="dcterms:W3CDTF">2021-01-14T07:33:00Z</dcterms:modified>
</cp:coreProperties>
</file>