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90" w:beforeAutospacing="0" w:after="480" w:afterAutospacing="0" w:line="750" w:lineRule="atLeast"/>
        <w:ind w:left="0" w:right="0" w:firstLine="0"/>
        <w:jc w:val="center"/>
        <w:rPr>
          <w:rFonts w:hint="eastAsia" w:ascii="微软雅黑" w:hAnsi="微软雅黑" w:eastAsia="微软雅黑" w:cs="微软雅黑"/>
          <w:b w:val="0"/>
          <w:bCs w:val="0"/>
          <w:i w:val="0"/>
          <w:iCs w:val="0"/>
          <w:caps w:val="0"/>
          <w:color w:val="3B3B3B"/>
          <w:spacing w:val="0"/>
          <w:sz w:val="48"/>
          <w:szCs w:val="48"/>
        </w:rPr>
      </w:pPr>
      <w:r>
        <w:rPr>
          <w:rFonts w:hint="eastAsia" w:ascii="微软雅黑" w:hAnsi="微软雅黑" w:eastAsia="微软雅黑" w:cs="微软雅黑"/>
          <w:b w:val="0"/>
          <w:bCs w:val="0"/>
          <w:i w:val="0"/>
          <w:iCs w:val="0"/>
          <w:caps w:val="0"/>
          <w:color w:val="3B3B3B"/>
          <w:spacing w:val="0"/>
          <w:sz w:val="48"/>
          <w:szCs w:val="48"/>
          <w:bdr w:val="none" w:color="auto" w:sz="0" w:space="0"/>
        </w:rPr>
        <w:t>国管局 国家发展改革委 财政部关于印发</w:t>
      </w:r>
      <w:r>
        <w:rPr>
          <w:rFonts w:hint="eastAsia" w:ascii="微软雅黑" w:hAnsi="微软雅黑" w:eastAsia="微软雅黑" w:cs="微软雅黑"/>
          <w:b w:val="0"/>
          <w:bCs w:val="0"/>
          <w:i w:val="0"/>
          <w:iCs w:val="0"/>
          <w:caps w:val="0"/>
          <w:color w:val="3B3B3B"/>
          <w:spacing w:val="0"/>
          <w:sz w:val="48"/>
          <w:szCs w:val="48"/>
          <w:bdr w:val="none" w:color="auto" w:sz="0" w:space="0"/>
        </w:rPr>
        <w:br w:type="textWrapping"/>
      </w:r>
      <w:r>
        <w:rPr>
          <w:rFonts w:hint="eastAsia" w:ascii="微软雅黑" w:hAnsi="微软雅黑" w:eastAsia="微软雅黑" w:cs="微软雅黑"/>
          <w:b w:val="0"/>
          <w:bCs w:val="0"/>
          <w:i w:val="0"/>
          <w:iCs w:val="0"/>
          <w:caps w:val="0"/>
          <w:color w:val="3B3B3B"/>
          <w:spacing w:val="0"/>
          <w:sz w:val="48"/>
          <w:szCs w:val="48"/>
          <w:bdr w:val="none" w:color="auto" w:sz="0" w:space="0"/>
        </w:rPr>
        <w:t>《关于鼓励和支持公共机构采用能源费用托管服务的意见》的通知</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pPr>
      <w:r>
        <w:rPr>
          <w:i w:val="0"/>
          <w:iCs w:val="0"/>
          <w:caps w:val="0"/>
          <w:color w:val="747474"/>
          <w:spacing w:val="0"/>
          <w:bdr w:val="none" w:color="auto" w:sz="0" w:space="0"/>
        </w:rPr>
        <w:t>国管局门户网站 www.ggj.gov.cn 2022-09-23 10:00 来源：国管局</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pPr>
      <w:r>
        <w:rPr>
          <w:i w:val="0"/>
          <w:iCs w:val="0"/>
          <w:caps w:val="0"/>
          <w:color w:val="747474"/>
          <w:spacing w:val="0"/>
          <w:u w:val="none"/>
          <w:bdr w:val="none" w:color="auto" w:sz="0" w:space="0"/>
        </w:rPr>
        <w:fldChar w:fldCharType="begin"/>
      </w:r>
      <w:r>
        <w:rPr>
          <w:i w:val="0"/>
          <w:iCs w:val="0"/>
          <w:caps w:val="0"/>
          <w:color w:val="747474"/>
          <w:spacing w:val="0"/>
          <w:u w:val="none"/>
          <w:bdr w:val="none" w:color="auto" w:sz="0" w:space="0"/>
        </w:rPr>
        <w:instrText xml:space="preserve"> HYPERLINK "javascript:window.opener=null;window.close();" </w:instrText>
      </w:r>
      <w:r>
        <w:rPr>
          <w:i w:val="0"/>
          <w:iCs w:val="0"/>
          <w:caps w:val="0"/>
          <w:color w:val="747474"/>
          <w:spacing w:val="0"/>
          <w:u w:val="none"/>
          <w:bdr w:val="none" w:color="auto" w:sz="0" w:space="0"/>
        </w:rPr>
        <w:fldChar w:fldCharType="separate"/>
      </w:r>
      <w:r>
        <w:rPr>
          <w:rStyle w:val="6"/>
          <w:i w:val="0"/>
          <w:iCs w:val="0"/>
          <w:caps w:val="0"/>
          <w:color w:val="747474"/>
          <w:spacing w:val="0"/>
          <w:u w:val="none"/>
          <w:bdr w:val="none" w:color="auto" w:sz="0" w:space="0"/>
        </w:rPr>
        <w:t>关闭本页</w:t>
      </w:r>
      <w:r>
        <w:rPr>
          <w:i w:val="0"/>
          <w:iCs w:val="0"/>
          <w:caps w:val="0"/>
          <w:color w:val="747474"/>
          <w:spacing w:val="0"/>
          <w:u w:val="none"/>
          <w:bdr w:val="none" w:color="auto" w:sz="0" w:space="0"/>
        </w:rPr>
        <w:fldChar w:fldCharType="end"/>
      </w:r>
      <w:r>
        <w:rPr>
          <w:i w:val="0"/>
          <w:iCs w:val="0"/>
          <w:caps w:val="0"/>
          <w:color w:val="747474"/>
          <w:spacing w:val="0"/>
          <w:u w:val="none"/>
          <w:bdr w:val="none" w:color="auto" w:sz="0" w:space="0"/>
        </w:rPr>
        <w:fldChar w:fldCharType="begin"/>
      </w:r>
      <w:r>
        <w:rPr>
          <w:i w:val="0"/>
          <w:iCs w:val="0"/>
          <w:caps w:val="0"/>
          <w:color w:val="747474"/>
          <w:spacing w:val="0"/>
          <w:u w:val="none"/>
          <w:bdr w:val="none" w:color="auto" w:sz="0" w:space="0"/>
        </w:rPr>
        <w:instrText xml:space="preserve"> HYPERLINK "javascript:window.print()" </w:instrText>
      </w:r>
      <w:r>
        <w:rPr>
          <w:i w:val="0"/>
          <w:iCs w:val="0"/>
          <w:caps w:val="0"/>
          <w:color w:val="747474"/>
          <w:spacing w:val="0"/>
          <w:u w:val="none"/>
          <w:bdr w:val="none" w:color="auto" w:sz="0" w:space="0"/>
        </w:rPr>
        <w:fldChar w:fldCharType="separate"/>
      </w:r>
      <w:r>
        <w:rPr>
          <w:rStyle w:val="6"/>
          <w:i w:val="0"/>
          <w:iCs w:val="0"/>
          <w:caps w:val="0"/>
          <w:color w:val="747474"/>
          <w:spacing w:val="0"/>
          <w:u w:val="none"/>
          <w:bdr w:val="none" w:color="auto" w:sz="0" w:space="0"/>
        </w:rPr>
        <w:t>打印</w:t>
      </w:r>
      <w:r>
        <w:rPr>
          <w:i w:val="0"/>
          <w:iCs w:val="0"/>
          <w:caps w:val="0"/>
          <w:color w:val="747474"/>
          <w:spacing w:val="0"/>
          <w:u w:val="none"/>
          <w:bdr w:val="none" w:color="auto" w:sz="0" w:space="0"/>
        </w:rPr>
        <w:fldChar w:fldCharType="end"/>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pPr>
      <w:r>
        <w:rPr>
          <w:i w:val="0"/>
          <w:iCs w:val="0"/>
          <w:caps w:val="0"/>
          <w:color w:val="747474"/>
          <w:spacing w:val="0"/>
          <w:bdr w:val="none" w:color="auto" w:sz="0" w:space="0"/>
        </w:rPr>
        <w:t>【 字体：</w:t>
      </w:r>
      <w:r>
        <w:rPr>
          <w:i w:val="0"/>
          <w:iCs w:val="0"/>
          <w:caps w:val="0"/>
          <w:color w:val="747474"/>
          <w:spacing w:val="0"/>
          <w:u w:val="none"/>
          <w:bdr w:val="none" w:color="auto" w:sz="0" w:space="0"/>
        </w:rPr>
        <w:fldChar w:fldCharType="begin"/>
      </w:r>
      <w:r>
        <w:rPr>
          <w:i w:val="0"/>
          <w:iCs w:val="0"/>
          <w:caps w:val="0"/>
          <w:color w:val="747474"/>
          <w:spacing w:val="0"/>
          <w:u w:val="none"/>
          <w:bdr w:val="none" w:color="auto" w:sz="0" w:space="0"/>
        </w:rPr>
        <w:instrText xml:space="preserve"> HYPERLINK "javascript:void(0);" </w:instrText>
      </w:r>
      <w:r>
        <w:rPr>
          <w:i w:val="0"/>
          <w:iCs w:val="0"/>
          <w:caps w:val="0"/>
          <w:color w:val="747474"/>
          <w:spacing w:val="0"/>
          <w:u w:val="none"/>
          <w:bdr w:val="none" w:color="auto" w:sz="0" w:space="0"/>
        </w:rPr>
        <w:fldChar w:fldCharType="separate"/>
      </w:r>
      <w:r>
        <w:rPr>
          <w:rStyle w:val="6"/>
          <w:i w:val="0"/>
          <w:iCs w:val="0"/>
          <w:caps w:val="0"/>
          <w:color w:val="747474"/>
          <w:spacing w:val="0"/>
          <w:u w:val="none"/>
          <w:bdr w:val="none" w:color="auto" w:sz="0" w:space="0"/>
        </w:rPr>
        <w:t>小</w:t>
      </w:r>
      <w:r>
        <w:rPr>
          <w:i w:val="0"/>
          <w:iCs w:val="0"/>
          <w:caps w:val="0"/>
          <w:color w:val="747474"/>
          <w:spacing w:val="0"/>
          <w:u w:val="none"/>
          <w:bdr w:val="none" w:color="auto" w:sz="0" w:space="0"/>
        </w:rPr>
        <w:fldChar w:fldCharType="end"/>
      </w:r>
      <w:r>
        <w:rPr>
          <w:i w:val="0"/>
          <w:iCs w:val="0"/>
          <w:caps w:val="0"/>
          <w:color w:val="747474"/>
          <w:spacing w:val="0"/>
          <w:u w:val="none"/>
          <w:bdr w:val="none" w:color="auto" w:sz="0" w:space="0"/>
        </w:rPr>
        <w:fldChar w:fldCharType="begin"/>
      </w:r>
      <w:r>
        <w:rPr>
          <w:i w:val="0"/>
          <w:iCs w:val="0"/>
          <w:caps w:val="0"/>
          <w:color w:val="747474"/>
          <w:spacing w:val="0"/>
          <w:u w:val="none"/>
          <w:bdr w:val="none" w:color="auto" w:sz="0" w:space="0"/>
        </w:rPr>
        <w:instrText xml:space="preserve"> HYPERLINK "javascript:void(0);" </w:instrText>
      </w:r>
      <w:r>
        <w:rPr>
          <w:i w:val="0"/>
          <w:iCs w:val="0"/>
          <w:caps w:val="0"/>
          <w:color w:val="747474"/>
          <w:spacing w:val="0"/>
          <w:u w:val="none"/>
          <w:bdr w:val="none" w:color="auto" w:sz="0" w:space="0"/>
        </w:rPr>
        <w:fldChar w:fldCharType="separate"/>
      </w:r>
      <w:r>
        <w:rPr>
          <w:rStyle w:val="6"/>
          <w:i w:val="0"/>
          <w:iCs w:val="0"/>
          <w:caps w:val="0"/>
          <w:color w:val="747474"/>
          <w:spacing w:val="0"/>
          <w:u w:val="none"/>
          <w:bdr w:val="none" w:color="auto" w:sz="0" w:space="0"/>
        </w:rPr>
        <w:t>中</w:t>
      </w:r>
      <w:r>
        <w:rPr>
          <w:i w:val="0"/>
          <w:iCs w:val="0"/>
          <w:caps w:val="0"/>
          <w:color w:val="747474"/>
          <w:spacing w:val="0"/>
          <w:u w:val="none"/>
          <w:bdr w:val="none" w:color="auto" w:sz="0" w:space="0"/>
        </w:rPr>
        <w:fldChar w:fldCharType="end"/>
      </w:r>
      <w:r>
        <w:rPr>
          <w:i w:val="0"/>
          <w:iCs w:val="0"/>
          <w:caps w:val="0"/>
          <w:color w:val="747474"/>
          <w:spacing w:val="0"/>
          <w:u w:val="none"/>
          <w:bdr w:val="none" w:color="auto" w:sz="0" w:space="0"/>
        </w:rPr>
        <w:fldChar w:fldCharType="begin"/>
      </w:r>
      <w:r>
        <w:rPr>
          <w:i w:val="0"/>
          <w:iCs w:val="0"/>
          <w:caps w:val="0"/>
          <w:color w:val="747474"/>
          <w:spacing w:val="0"/>
          <w:u w:val="none"/>
          <w:bdr w:val="none" w:color="auto" w:sz="0" w:space="0"/>
        </w:rPr>
        <w:instrText xml:space="preserve"> HYPERLINK "javascript:void(0);" </w:instrText>
      </w:r>
      <w:r>
        <w:rPr>
          <w:i w:val="0"/>
          <w:iCs w:val="0"/>
          <w:caps w:val="0"/>
          <w:color w:val="747474"/>
          <w:spacing w:val="0"/>
          <w:u w:val="none"/>
          <w:bdr w:val="none" w:color="auto" w:sz="0" w:space="0"/>
        </w:rPr>
        <w:fldChar w:fldCharType="separate"/>
      </w:r>
      <w:r>
        <w:rPr>
          <w:rStyle w:val="6"/>
          <w:i w:val="0"/>
          <w:iCs w:val="0"/>
          <w:caps w:val="0"/>
          <w:color w:val="747474"/>
          <w:spacing w:val="0"/>
          <w:u w:val="none"/>
          <w:bdr w:val="none" w:color="auto" w:sz="0" w:space="0"/>
        </w:rPr>
        <w:t>大</w:t>
      </w:r>
      <w:r>
        <w:rPr>
          <w:i w:val="0"/>
          <w:iCs w:val="0"/>
          <w:caps w:val="0"/>
          <w:color w:val="747474"/>
          <w:spacing w:val="0"/>
          <w:u w:val="none"/>
          <w:bdr w:val="none" w:color="auto" w:sz="0" w:space="0"/>
        </w:rPr>
        <w:fldChar w:fldCharType="end"/>
      </w:r>
      <w:r>
        <w:rPr>
          <w:i w:val="0"/>
          <w:iCs w:val="0"/>
          <w:caps w:val="0"/>
          <w:color w:val="747474"/>
          <w:spacing w:val="0"/>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0" w:lineRule="atLeast"/>
        <w:ind w:left="0" w:right="0"/>
        <w:jc w:val="both"/>
        <w:rPr>
          <w:rFonts w:hint="eastAsia" w:ascii="宋体" w:hAnsi="宋体" w:eastAsia="宋体" w:cs="宋体"/>
          <w:sz w:val="28"/>
          <w:szCs w:val="28"/>
        </w:rPr>
      </w:pPr>
      <w:r>
        <w:rPr>
          <w:rFonts w:hint="eastAsia" w:ascii="宋体" w:hAnsi="宋体" w:eastAsia="宋体" w:cs="宋体"/>
          <w:i w:val="0"/>
          <w:iCs w:val="0"/>
          <w:caps w:val="0"/>
          <w:color w:val="4F4F4F"/>
          <w:spacing w:val="0"/>
          <w:sz w:val="28"/>
          <w:szCs w:val="28"/>
          <w:bdr w:val="none" w:color="auto" w:sz="0" w:space="0"/>
        </w:rPr>
        <w:t>各省、自治区、直辖市和新疆生产建设兵团机关事务管理、发展改革、财政部门，广东省能源局，中央国家机关各部门：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0" w:lineRule="atLeast"/>
        <w:ind w:left="0" w:right="0"/>
        <w:jc w:val="both"/>
        <w:rPr>
          <w:rFonts w:hint="eastAsia" w:ascii="宋体" w:hAnsi="宋体" w:eastAsia="宋体" w:cs="宋体"/>
          <w:sz w:val="28"/>
          <w:szCs w:val="28"/>
        </w:rPr>
      </w:pPr>
      <w:r>
        <w:rPr>
          <w:rFonts w:hint="eastAsia" w:ascii="宋体" w:hAnsi="宋体" w:eastAsia="宋体" w:cs="宋体"/>
          <w:i w:val="0"/>
          <w:iCs w:val="0"/>
          <w:caps w:val="0"/>
          <w:color w:val="4F4F4F"/>
          <w:spacing w:val="0"/>
          <w:sz w:val="28"/>
          <w:szCs w:val="28"/>
          <w:bdr w:val="none" w:color="auto" w:sz="0" w:space="0"/>
        </w:rPr>
        <w:t>　　为深入学习贯彻习近平生态文明思想和习近平总书记关于机关事务工作的重要指示精神，坚决落实党中央、国务院关于碳达峰、碳中和决策部署，鼓励公共机构采用能源费用托管服务，调动社会资本参与公共机构节约能源资源工作，推进公共机构绿色低碳转型，我们制定了《关于鼓励和支持公共机构采用能源费用托管服务的意见》，现印发给你们，请结合实际认真落实。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0" w:lineRule="atLeast"/>
        <w:ind w:left="0" w:right="0"/>
        <w:jc w:val="right"/>
        <w:rPr>
          <w:rFonts w:hint="eastAsia" w:ascii="宋体" w:hAnsi="宋体" w:eastAsia="宋体" w:cs="宋体"/>
          <w:sz w:val="28"/>
          <w:szCs w:val="28"/>
        </w:rPr>
      </w:pPr>
      <w:r>
        <w:rPr>
          <w:rFonts w:hint="eastAsia" w:ascii="宋体" w:hAnsi="宋体" w:eastAsia="宋体" w:cs="宋体"/>
          <w:i w:val="0"/>
          <w:iCs w:val="0"/>
          <w:caps w:val="0"/>
          <w:color w:val="4F4F4F"/>
          <w:spacing w:val="0"/>
          <w:sz w:val="28"/>
          <w:szCs w:val="28"/>
          <w:bdr w:val="none" w:color="auto" w:sz="0" w:space="0"/>
        </w:rPr>
        <w:t>国家机关事务管理局    国家发展和改革委员会    财政部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0" w:lineRule="atLeast"/>
        <w:ind w:left="0" w:right="0"/>
        <w:jc w:val="right"/>
        <w:rPr>
          <w:rFonts w:hint="eastAsia" w:ascii="宋体" w:hAnsi="宋体" w:eastAsia="宋体" w:cs="宋体"/>
          <w:sz w:val="28"/>
          <w:szCs w:val="28"/>
        </w:rPr>
      </w:pPr>
      <w:r>
        <w:rPr>
          <w:rFonts w:hint="eastAsia" w:ascii="宋体" w:hAnsi="宋体" w:eastAsia="宋体" w:cs="宋体"/>
          <w:i w:val="0"/>
          <w:iCs w:val="0"/>
          <w:caps w:val="0"/>
          <w:color w:val="4F4F4F"/>
          <w:spacing w:val="0"/>
          <w:sz w:val="28"/>
          <w:szCs w:val="28"/>
          <w:bdr w:val="none" w:color="auto" w:sz="0" w:space="0"/>
        </w:rPr>
        <w:t>2022年9月7日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0" w:lineRule="atLeast"/>
        <w:ind w:left="0" w:right="0"/>
        <w:jc w:val="center"/>
        <w:rPr>
          <w:rFonts w:hint="eastAsia" w:ascii="宋体" w:hAnsi="宋体" w:eastAsia="宋体" w:cs="宋体"/>
          <w:sz w:val="30"/>
          <w:szCs w:val="30"/>
        </w:rPr>
      </w:pPr>
      <w:bookmarkStart w:id="0" w:name="_GoBack"/>
      <w:r>
        <w:rPr>
          <w:rFonts w:hint="eastAsia" w:ascii="宋体" w:hAnsi="宋体" w:eastAsia="宋体" w:cs="宋体"/>
          <w:b/>
          <w:bCs/>
          <w:i w:val="0"/>
          <w:iCs w:val="0"/>
          <w:caps w:val="0"/>
          <w:color w:val="4F4F4F"/>
          <w:spacing w:val="0"/>
          <w:sz w:val="30"/>
          <w:szCs w:val="30"/>
          <w:bdr w:val="none" w:color="auto" w:sz="0" w:space="0"/>
        </w:rPr>
        <w:t>关于鼓励和支持公共机构采用能源费用托管服务的意见</w:t>
      </w:r>
    </w:p>
    <w:bookmarkEnd w:id="0"/>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0" w:lineRule="atLeast"/>
        <w:ind w:left="0" w:right="0"/>
        <w:jc w:val="both"/>
        <w:rPr>
          <w:rFonts w:hint="eastAsia" w:ascii="宋体" w:hAnsi="宋体" w:eastAsia="宋体" w:cs="宋体"/>
          <w:sz w:val="28"/>
          <w:szCs w:val="28"/>
        </w:rPr>
      </w:pPr>
      <w:r>
        <w:rPr>
          <w:rFonts w:hint="eastAsia" w:ascii="宋体" w:hAnsi="宋体" w:eastAsia="宋体" w:cs="宋体"/>
          <w:i w:val="0"/>
          <w:iCs w:val="0"/>
          <w:caps w:val="0"/>
          <w:color w:val="4F4F4F"/>
          <w:spacing w:val="0"/>
          <w:sz w:val="28"/>
          <w:szCs w:val="28"/>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0" w:lineRule="atLeast"/>
        <w:ind w:left="0" w:right="0"/>
        <w:jc w:val="both"/>
        <w:rPr>
          <w:rFonts w:hint="eastAsia" w:ascii="宋体" w:hAnsi="宋体" w:eastAsia="宋体" w:cs="宋体"/>
          <w:sz w:val="28"/>
          <w:szCs w:val="28"/>
        </w:rPr>
      </w:pPr>
      <w:r>
        <w:rPr>
          <w:rFonts w:hint="eastAsia" w:ascii="宋体" w:hAnsi="宋体" w:eastAsia="宋体" w:cs="宋体"/>
          <w:i w:val="0"/>
          <w:iCs w:val="0"/>
          <w:caps w:val="0"/>
          <w:color w:val="4F4F4F"/>
          <w:spacing w:val="0"/>
          <w:sz w:val="28"/>
          <w:szCs w:val="28"/>
          <w:bdr w:val="none" w:color="auto" w:sz="0" w:space="0"/>
        </w:rPr>
        <w:t>　　为深入学习贯彻习近平生态文明思想和习近平总书记关于机关事务工作的重要指示精神，坚决落实党中央、国务院关于碳达峰、碳中和决策部署，推进市场化机制建设，发展市场化节能方式，发挥能源费用托管服务模式在公共机构节约能源资源工作中的作用，依据《国务院关于加快建立健全绿色低碳循环发展经济体系的指导意见》、《“十四五”节能减排综合工作方案》、《“十四五”公共机构节约能源资源工作规划》等政策文件要求，现就鼓励和支持公共机构采用能源费用托管服务提出如下意见。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0" w:lineRule="atLeast"/>
        <w:ind w:left="0" w:right="0"/>
        <w:jc w:val="both"/>
        <w:rPr>
          <w:rFonts w:hint="eastAsia" w:ascii="宋体" w:hAnsi="宋体" w:eastAsia="宋体" w:cs="宋体"/>
          <w:sz w:val="28"/>
          <w:szCs w:val="28"/>
        </w:rPr>
      </w:pPr>
      <w:r>
        <w:rPr>
          <w:rFonts w:hint="eastAsia" w:ascii="宋体" w:hAnsi="宋体" w:eastAsia="宋体" w:cs="宋体"/>
          <w:b/>
          <w:bCs/>
          <w:i w:val="0"/>
          <w:iCs w:val="0"/>
          <w:caps w:val="0"/>
          <w:color w:val="4F4F4F"/>
          <w:spacing w:val="0"/>
          <w:sz w:val="28"/>
          <w:szCs w:val="28"/>
          <w:bdr w:val="none" w:color="auto" w:sz="0" w:space="0"/>
        </w:rPr>
        <w:t>　　一、充分认识采用能源费用托管服务的意义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0" w:lineRule="atLeast"/>
        <w:ind w:left="0" w:right="0"/>
        <w:jc w:val="both"/>
        <w:rPr>
          <w:rFonts w:hint="eastAsia" w:ascii="宋体" w:hAnsi="宋体" w:eastAsia="宋体" w:cs="宋体"/>
          <w:sz w:val="28"/>
          <w:szCs w:val="28"/>
        </w:rPr>
      </w:pPr>
      <w:r>
        <w:rPr>
          <w:rFonts w:hint="eastAsia" w:ascii="宋体" w:hAnsi="宋体" w:eastAsia="宋体" w:cs="宋体"/>
          <w:i w:val="0"/>
          <w:iCs w:val="0"/>
          <w:caps w:val="0"/>
          <w:color w:val="4F4F4F"/>
          <w:spacing w:val="0"/>
          <w:sz w:val="28"/>
          <w:szCs w:val="28"/>
          <w:bdr w:val="none" w:color="auto" w:sz="0" w:space="0"/>
        </w:rPr>
        <w:t>　　能源费用托管是合同能源管理的一种形式，是指用能单位委托能够提供用能状况诊断、改造、运行管理等服务的专业化公司（以下称节能服务公司），进行电、气、煤、油、市政热力、水等能源资源系统的运行、管理、维护和改造，用能单位将根据能源基准确定的费用支付给节能服务公司作为托管费用，节能服务公司通过科学的管理运行和节能技术的应用达到节约能源资源、减少费用支出等目的，获取合理的利润。近年来，部分地方开展了能源费用托管服务项目试点工作，发挥市场化机制作用，创新节能服务模式，降低了节能改造资金投入，提升了节能专业化水平，形成了一批可复制可推广的经验做法。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0" w:lineRule="atLeast"/>
        <w:ind w:left="0" w:right="0"/>
        <w:jc w:val="both"/>
        <w:rPr>
          <w:rFonts w:hint="eastAsia" w:ascii="宋体" w:hAnsi="宋体" w:eastAsia="宋体" w:cs="宋体"/>
          <w:sz w:val="28"/>
          <w:szCs w:val="28"/>
        </w:rPr>
      </w:pPr>
      <w:r>
        <w:rPr>
          <w:rFonts w:hint="eastAsia" w:ascii="宋体" w:hAnsi="宋体" w:eastAsia="宋体" w:cs="宋体"/>
          <w:i w:val="0"/>
          <w:iCs w:val="0"/>
          <w:caps w:val="0"/>
          <w:color w:val="4F4F4F"/>
          <w:spacing w:val="0"/>
          <w:sz w:val="28"/>
          <w:szCs w:val="28"/>
          <w:bdr w:val="none" w:color="auto" w:sz="0" w:space="0"/>
        </w:rPr>
        <w:t>　　公共机构是能源资源节约的重要领域之一，目前还存在着市场化机制运用不充分、节能改造主要依靠财政资金投入等问题。公共机构采用能源费用托管服务，有利于贯彻落实党中央、国务院关于碳达峰、碳中和决策部署，通过市场化机制激发市场主体活力，推进能源资源绿色低碳利用，以消耗减量实现碳排放降低；有利于落实过紧日子要求，利用市场在资源配置中的决定性作用，减少运行中不必要的能源资源保障支出，减轻节能改造对财政资金的依赖；有利于推动绿色低碳转型，引入节能专业化服务，提高管理专业化水平，提升能源资源利用效率，实现公共机构绿色低碳发展。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0" w:lineRule="atLeast"/>
        <w:ind w:left="0" w:right="0"/>
        <w:jc w:val="both"/>
        <w:rPr>
          <w:rFonts w:hint="eastAsia" w:ascii="宋体" w:hAnsi="宋体" w:eastAsia="宋体" w:cs="宋体"/>
          <w:sz w:val="28"/>
          <w:szCs w:val="28"/>
        </w:rPr>
      </w:pPr>
      <w:r>
        <w:rPr>
          <w:rFonts w:hint="eastAsia" w:ascii="宋体" w:hAnsi="宋体" w:eastAsia="宋体" w:cs="宋体"/>
          <w:b/>
          <w:bCs/>
          <w:i w:val="0"/>
          <w:iCs w:val="0"/>
          <w:caps w:val="0"/>
          <w:color w:val="4F4F4F"/>
          <w:spacing w:val="0"/>
          <w:sz w:val="28"/>
          <w:szCs w:val="28"/>
          <w:bdr w:val="none" w:color="auto" w:sz="0" w:space="0"/>
        </w:rPr>
        <w:t>　　二、因地制宜采用能源费用托管服务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0" w:lineRule="atLeast"/>
        <w:ind w:left="0" w:right="0"/>
        <w:jc w:val="both"/>
        <w:rPr>
          <w:rFonts w:hint="eastAsia" w:ascii="宋体" w:hAnsi="宋体" w:eastAsia="宋体" w:cs="宋体"/>
          <w:sz w:val="28"/>
          <w:szCs w:val="28"/>
        </w:rPr>
      </w:pPr>
      <w:r>
        <w:rPr>
          <w:rFonts w:hint="eastAsia" w:ascii="宋体" w:hAnsi="宋体" w:eastAsia="宋体" w:cs="宋体"/>
          <w:i w:val="0"/>
          <w:iCs w:val="0"/>
          <w:caps w:val="0"/>
          <w:color w:val="4F4F4F"/>
          <w:spacing w:val="0"/>
          <w:sz w:val="28"/>
          <w:szCs w:val="28"/>
          <w:bdr w:val="none" w:color="auto" w:sz="0" w:space="0"/>
        </w:rPr>
        <w:t>　　对于列入本地区重点用能单位名录的，单位建筑面积能耗超过所在地区同类型公共机构能耗定额基准值的，或者空调、照明等主要用能系统能效水平未达到能效强制性国家标准二级以上的公共机构，适宜优先采用能源费用托管服务开展节能改造，切实降低能耗水平。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0" w:lineRule="atLeast"/>
        <w:ind w:left="0" w:right="0"/>
        <w:jc w:val="both"/>
        <w:rPr>
          <w:rFonts w:hint="eastAsia" w:ascii="宋体" w:hAnsi="宋体" w:eastAsia="宋体" w:cs="宋体"/>
          <w:sz w:val="28"/>
          <w:szCs w:val="28"/>
        </w:rPr>
      </w:pPr>
      <w:r>
        <w:rPr>
          <w:rFonts w:hint="eastAsia" w:ascii="宋体" w:hAnsi="宋体" w:eastAsia="宋体" w:cs="宋体"/>
          <w:i w:val="0"/>
          <w:iCs w:val="0"/>
          <w:caps w:val="0"/>
          <w:color w:val="4F4F4F"/>
          <w:spacing w:val="0"/>
          <w:sz w:val="28"/>
          <w:szCs w:val="28"/>
          <w:bdr w:val="none" w:color="auto" w:sz="0" w:space="0"/>
        </w:rPr>
        <w:t>　　对于多个公共机构同在一个区域集中办公，或者虽然分散办公但存在能源资源牵头管理单位的，适宜利用集中打包的方式形成托管项目，采用能源费用托管服务，切实发挥规模效应。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0" w:lineRule="atLeast"/>
        <w:ind w:left="0" w:right="0"/>
        <w:jc w:val="both"/>
        <w:rPr>
          <w:rFonts w:hint="eastAsia" w:ascii="宋体" w:hAnsi="宋体" w:eastAsia="宋体" w:cs="宋体"/>
          <w:sz w:val="28"/>
          <w:szCs w:val="28"/>
        </w:rPr>
      </w:pPr>
      <w:r>
        <w:rPr>
          <w:rFonts w:hint="eastAsia" w:ascii="宋体" w:hAnsi="宋体" w:eastAsia="宋体" w:cs="宋体"/>
          <w:i w:val="0"/>
          <w:iCs w:val="0"/>
          <w:caps w:val="0"/>
          <w:color w:val="4F4F4F"/>
          <w:spacing w:val="0"/>
          <w:sz w:val="28"/>
          <w:szCs w:val="28"/>
          <w:bdr w:val="none" w:color="auto" w:sz="0" w:space="0"/>
        </w:rPr>
        <w:t>　　对于新建建筑或者既有建筑改造的，适宜将能源费用托管服务纳入整体设计方案统筹考虑，鼓励采用绿色低碳技术和产品，减少化石能源使用和碳排放量。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0" w:lineRule="atLeast"/>
        <w:ind w:left="0" w:right="0"/>
        <w:jc w:val="both"/>
        <w:rPr>
          <w:rFonts w:hint="eastAsia" w:ascii="宋体" w:hAnsi="宋体" w:eastAsia="宋体" w:cs="宋体"/>
          <w:sz w:val="28"/>
          <w:szCs w:val="28"/>
        </w:rPr>
      </w:pPr>
      <w:r>
        <w:rPr>
          <w:rFonts w:hint="eastAsia" w:ascii="宋体" w:hAnsi="宋体" w:eastAsia="宋体" w:cs="宋体"/>
          <w:b/>
          <w:bCs/>
          <w:i w:val="0"/>
          <w:iCs w:val="0"/>
          <w:caps w:val="0"/>
          <w:color w:val="4F4F4F"/>
          <w:spacing w:val="0"/>
          <w:sz w:val="28"/>
          <w:szCs w:val="28"/>
          <w:bdr w:val="none" w:color="auto" w:sz="0" w:space="0"/>
        </w:rPr>
        <w:t>　　三、规范有序采用能源费用托管服务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0" w:lineRule="atLeast"/>
        <w:ind w:left="0" w:right="0"/>
        <w:jc w:val="both"/>
        <w:rPr>
          <w:rFonts w:hint="eastAsia" w:ascii="宋体" w:hAnsi="宋体" w:eastAsia="宋体" w:cs="宋体"/>
          <w:sz w:val="28"/>
          <w:szCs w:val="28"/>
        </w:rPr>
      </w:pPr>
      <w:r>
        <w:rPr>
          <w:rFonts w:hint="eastAsia" w:ascii="宋体" w:hAnsi="宋体" w:eastAsia="宋体" w:cs="宋体"/>
          <w:b/>
          <w:bCs/>
          <w:i w:val="0"/>
          <w:iCs w:val="0"/>
          <w:caps w:val="0"/>
          <w:color w:val="4F4F4F"/>
          <w:spacing w:val="0"/>
          <w:sz w:val="28"/>
          <w:szCs w:val="28"/>
          <w:bdr w:val="none" w:color="auto" w:sz="0" w:space="0"/>
        </w:rPr>
        <w:t>　　（一）前期评估。</w:t>
      </w:r>
      <w:r>
        <w:rPr>
          <w:rFonts w:hint="eastAsia" w:ascii="宋体" w:hAnsi="宋体" w:eastAsia="宋体" w:cs="宋体"/>
          <w:i w:val="0"/>
          <w:iCs w:val="0"/>
          <w:caps w:val="0"/>
          <w:color w:val="4F4F4F"/>
          <w:spacing w:val="0"/>
          <w:sz w:val="28"/>
          <w:szCs w:val="28"/>
          <w:bdr w:val="none" w:color="auto" w:sz="0" w:space="0"/>
        </w:rPr>
        <w:t>公共机构自行或者委托第三方能源审计服务机构开展能源审计，以托管项目实施前1至3年为基期，以涉及的空间区域、用能系统为边界，对能耗水平进行诊断分析，并出具能源审计报告，确定能源基准。既有建筑的能源基准宜结合建筑用能设备设施、用能时段、用能人数、能源价格变化等因素，根据项目实施前1至3年的能耗及运维数据进行确认；新建建筑的能源基准宜结合设计方案和实际建成情况进行模拟测算。公共机构要对托管项目实施方案的技术可行性、经济合理性进行全面评估，明确托管范围、托管期限、托管费用、节能目标等。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0" w:lineRule="atLeast"/>
        <w:ind w:left="0" w:right="0"/>
        <w:jc w:val="both"/>
        <w:rPr>
          <w:rFonts w:hint="eastAsia" w:ascii="宋体" w:hAnsi="宋体" w:eastAsia="宋体" w:cs="宋体"/>
          <w:sz w:val="28"/>
          <w:szCs w:val="28"/>
        </w:rPr>
      </w:pPr>
      <w:r>
        <w:rPr>
          <w:rFonts w:hint="eastAsia" w:ascii="宋体" w:hAnsi="宋体" w:eastAsia="宋体" w:cs="宋体"/>
          <w:b/>
          <w:bCs/>
          <w:i w:val="0"/>
          <w:iCs w:val="0"/>
          <w:caps w:val="0"/>
          <w:color w:val="4F4F4F"/>
          <w:spacing w:val="0"/>
          <w:sz w:val="28"/>
          <w:szCs w:val="28"/>
          <w:bdr w:val="none" w:color="auto" w:sz="0" w:space="0"/>
        </w:rPr>
        <w:t>　　（二）组织采购。</w:t>
      </w:r>
      <w:r>
        <w:rPr>
          <w:rFonts w:hint="eastAsia" w:ascii="宋体" w:hAnsi="宋体" w:eastAsia="宋体" w:cs="宋体"/>
          <w:i w:val="0"/>
          <w:iCs w:val="0"/>
          <w:caps w:val="0"/>
          <w:color w:val="4F4F4F"/>
          <w:spacing w:val="0"/>
          <w:sz w:val="28"/>
          <w:szCs w:val="28"/>
          <w:bdr w:val="none" w:color="auto" w:sz="0" w:space="0"/>
        </w:rPr>
        <w:t>公共机构依照《中华人民共和国政府采购法》、《中华人民共和国政府采购法实施条例》等法律法规的有关规定，开展托管项目政府采购。一般情况下，托管项目适宜按照服务类型进行采购，以托管费暂估价（可根据托管期限内各项能源资源及运行管理相关费用的总支出估算得出）作为最高限价，按照政府采购相关制度规定确定采购方式。公共机构要在采购文件中明确能源基准、节能目标、奖惩条件等，充分考虑项目可行性、经济性和先进性。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0" w:lineRule="atLeast"/>
        <w:ind w:left="0" w:right="0"/>
        <w:jc w:val="both"/>
        <w:rPr>
          <w:rFonts w:hint="eastAsia" w:ascii="宋体" w:hAnsi="宋体" w:eastAsia="宋体" w:cs="宋体"/>
          <w:sz w:val="28"/>
          <w:szCs w:val="28"/>
        </w:rPr>
      </w:pPr>
      <w:r>
        <w:rPr>
          <w:rFonts w:hint="eastAsia" w:ascii="宋体" w:hAnsi="宋体" w:eastAsia="宋体" w:cs="宋体"/>
          <w:b/>
          <w:bCs/>
          <w:i w:val="0"/>
          <w:iCs w:val="0"/>
          <w:caps w:val="0"/>
          <w:color w:val="4F4F4F"/>
          <w:spacing w:val="0"/>
          <w:sz w:val="28"/>
          <w:szCs w:val="28"/>
          <w:bdr w:val="none" w:color="auto" w:sz="0" w:space="0"/>
        </w:rPr>
        <w:t>　　（三）合同签订。</w:t>
      </w:r>
      <w:r>
        <w:rPr>
          <w:rFonts w:hint="eastAsia" w:ascii="宋体" w:hAnsi="宋体" w:eastAsia="宋体" w:cs="宋体"/>
          <w:i w:val="0"/>
          <w:iCs w:val="0"/>
          <w:caps w:val="0"/>
          <w:color w:val="4F4F4F"/>
          <w:spacing w:val="0"/>
          <w:sz w:val="28"/>
          <w:szCs w:val="28"/>
          <w:bdr w:val="none" w:color="auto" w:sz="0" w:space="0"/>
        </w:rPr>
        <w:t>公共机构根据政府采购结果，与节能服务公司签订托管项目合同，合同履行期限一般不低于5年，不超过10年。合同内容应当符合政府采购有关制度规定，可以参考《合同能源管理技术通则》（GB/T 24915）中的合同格式，具体包括双方责任、托管期限、托管费用的标准及支付、保密责任、合同变更及解除等内容。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0" w:lineRule="atLeast"/>
        <w:ind w:left="0" w:right="0"/>
        <w:jc w:val="both"/>
        <w:rPr>
          <w:rFonts w:hint="eastAsia" w:ascii="宋体" w:hAnsi="宋体" w:eastAsia="宋体" w:cs="宋体"/>
          <w:sz w:val="28"/>
          <w:szCs w:val="28"/>
        </w:rPr>
      </w:pPr>
      <w:r>
        <w:rPr>
          <w:rFonts w:hint="eastAsia" w:ascii="宋体" w:hAnsi="宋体" w:eastAsia="宋体" w:cs="宋体"/>
          <w:b/>
          <w:bCs/>
          <w:i w:val="0"/>
          <w:iCs w:val="0"/>
          <w:caps w:val="0"/>
          <w:color w:val="4F4F4F"/>
          <w:spacing w:val="0"/>
          <w:sz w:val="28"/>
          <w:szCs w:val="28"/>
          <w:bdr w:val="none" w:color="auto" w:sz="0" w:space="0"/>
        </w:rPr>
        <w:t>　　（四）组织实施。</w:t>
      </w:r>
      <w:r>
        <w:rPr>
          <w:rFonts w:hint="eastAsia" w:ascii="宋体" w:hAnsi="宋体" w:eastAsia="宋体" w:cs="宋体"/>
          <w:i w:val="0"/>
          <w:iCs w:val="0"/>
          <w:caps w:val="0"/>
          <w:color w:val="4F4F4F"/>
          <w:spacing w:val="0"/>
          <w:sz w:val="28"/>
          <w:szCs w:val="28"/>
          <w:bdr w:val="none" w:color="auto" w:sz="0" w:space="0"/>
        </w:rPr>
        <w:t>托管项目实施前，公共机构要确保用能设备设施完整且正常运行，合同生效后及时交由节能服务公司运维管理。在项目托管期限内，公共机构要定期掌握用能设备设施运维状态、各项能耗及能源资源费用等项目运行情况，按照合同约定对节能服务公司的服务能力和服务质量进行监督。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0" w:lineRule="atLeast"/>
        <w:ind w:left="0" w:right="0"/>
        <w:jc w:val="both"/>
        <w:rPr>
          <w:rFonts w:hint="eastAsia" w:ascii="宋体" w:hAnsi="宋体" w:eastAsia="宋体" w:cs="宋体"/>
          <w:sz w:val="28"/>
          <w:szCs w:val="28"/>
        </w:rPr>
      </w:pPr>
      <w:r>
        <w:rPr>
          <w:rFonts w:hint="eastAsia" w:ascii="宋体" w:hAnsi="宋体" w:eastAsia="宋体" w:cs="宋体"/>
          <w:b/>
          <w:bCs/>
          <w:i w:val="0"/>
          <w:iCs w:val="0"/>
          <w:caps w:val="0"/>
          <w:color w:val="4F4F4F"/>
          <w:spacing w:val="0"/>
          <w:sz w:val="28"/>
          <w:szCs w:val="28"/>
          <w:bdr w:val="none" w:color="auto" w:sz="0" w:space="0"/>
        </w:rPr>
        <w:t>　　（五）项目调整。</w:t>
      </w:r>
      <w:r>
        <w:rPr>
          <w:rFonts w:hint="eastAsia" w:ascii="宋体" w:hAnsi="宋体" w:eastAsia="宋体" w:cs="宋体"/>
          <w:i w:val="0"/>
          <w:iCs w:val="0"/>
          <w:caps w:val="0"/>
          <w:color w:val="4F4F4F"/>
          <w:spacing w:val="0"/>
          <w:sz w:val="28"/>
          <w:szCs w:val="28"/>
          <w:bdr w:val="none" w:color="auto" w:sz="0" w:space="0"/>
        </w:rPr>
        <w:t>在项目托管期限内，如果托管项目边界范围、用能设备设施、用能人数、能源资源费用价格等发生重大变化，公共机构与节能服务公司可按照政府采购法律法规有关规定签订补充合同。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0" w:lineRule="atLeast"/>
        <w:ind w:left="0" w:right="0"/>
        <w:jc w:val="both"/>
        <w:rPr>
          <w:rFonts w:hint="eastAsia" w:ascii="宋体" w:hAnsi="宋体" w:eastAsia="宋体" w:cs="宋体"/>
          <w:sz w:val="28"/>
          <w:szCs w:val="28"/>
        </w:rPr>
      </w:pPr>
      <w:r>
        <w:rPr>
          <w:rFonts w:hint="eastAsia" w:ascii="宋体" w:hAnsi="宋体" w:eastAsia="宋体" w:cs="宋体"/>
          <w:b/>
          <w:bCs/>
          <w:i w:val="0"/>
          <w:iCs w:val="0"/>
          <w:caps w:val="0"/>
          <w:color w:val="4F4F4F"/>
          <w:spacing w:val="0"/>
          <w:sz w:val="28"/>
          <w:szCs w:val="28"/>
          <w:bdr w:val="none" w:color="auto" w:sz="0" w:space="0"/>
        </w:rPr>
        <w:t>　　（六）后期评估。</w:t>
      </w:r>
      <w:r>
        <w:rPr>
          <w:rFonts w:hint="eastAsia" w:ascii="宋体" w:hAnsi="宋体" w:eastAsia="宋体" w:cs="宋体"/>
          <w:i w:val="0"/>
          <w:iCs w:val="0"/>
          <w:caps w:val="0"/>
          <w:color w:val="4F4F4F"/>
          <w:spacing w:val="0"/>
          <w:sz w:val="28"/>
          <w:szCs w:val="28"/>
          <w:bdr w:val="none" w:color="auto" w:sz="0" w:space="0"/>
        </w:rPr>
        <w:t>项目托管期限届满前1个月，节能服务公司要按照合同约定，对能源资源系统进行全面检修，保证用能设备设施完整且正常运行。公共机构宜委托第三方机构开展托管项目整体效果评估，并出具评估报告。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0" w:lineRule="atLeast"/>
        <w:ind w:left="0" w:right="0"/>
        <w:jc w:val="both"/>
        <w:rPr>
          <w:rFonts w:hint="eastAsia" w:ascii="宋体" w:hAnsi="宋体" w:eastAsia="宋体" w:cs="宋体"/>
          <w:sz w:val="28"/>
          <w:szCs w:val="28"/>
        </w:rPr>
      </w:pPr>
      <w:r>
        <w:rPr>
          <w:rFonts w:hint="eastAsia" w:ascii="宋体" w:hAnsi="宋体" w:eastAsia="宋体" w:cs="宋体"/>
          <w:b/>
          <w:bCs/>
          <w:i w:val="0"/>
          <w:iCs w:val="0"/>
          <w:caps w:val="0"/>
          <w:color w:val="4F4F4F"/>
          <w:spacing w:val="0"/>
          <w:sz w:val="28"/>
          <w:szCs w:val="28"/>
          <w:bdr w:val="none" w:color="auto" w:sz="0" w:space="0"/>
        </w:rPr>
        <w:t>　　（七）资产管理。</w:t>
      </w:r>
      <w:r>
        <w:rPr>
          <w:rFonts w:hint="eastAsia" w:ascii="宋体" w:hAnsi="宋体" w:eastAsia="宋体" w:cs="宋体"/>
          <w:i w:val="0"/>
          <w:iCs w:val="0"/>
          <w:caps w:val="0"/>
          <w:color w:val="4F4F4F"/>
          <w:spacing w:val="0"/>
          <w:sz w:val="28"/>
          <w:szCs w:val="28"/>
          <w:bdr w:val="none" w:color="auto" w:sz="0" w:space="0"/>
        </w:rPr>
        <w:t>项目托管期间，公共机构要加强对相关用能设备设施资产的管理，确保国有资产不流失。项目托管期限届满，节能服务公司按照合同约定，将其投资形成的项目资产移交给公共机构，公共机构按照国家统一的会计制度对移交的资产进行会计处理。项目产生的碳排放交易权、知识产权等权益归属由公共机构与节能服务公司双方在合同中约定。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0" w:lineRule="atLeast"/>
        <w:ind w:left="0" w:right="0"/>
        <w:jc w:val="both"/>
        <w:rPr>
          <w:rFonts w:hint="eastAsia" w:ascii="宋体" w:hAnsi="宋体" w:eastAsia="宋体" w:cs="宋体"/>
          <w:sz w:val="28"/>
          <w:szCs w:val="28"/>
        </w:rPr>
      </w:pPr>
      <w:r>
        <w:rPr>
          <w:rFonts w:hint="eastAsia" w:ascii="宋体" w:hAnsi="宋体" w:eastAsia="宋体" w:cs="宋体"/>
          <w:b/>
          <w:bCs/>
          <w:i w:val="0"/>
          <w:iCs w:val="0"/>
          <w:caps w:val="0"/>
          <w:color w:val="4F4F4F"/>
          <w:spacing w:val="0"/>
          <w:sz w:val="28"/>
          <w:szCs w:val="28"/>
          <w:bdr w:val="none" w:color="auto" w:sz="0" w:space="0"/>
        </w:rPr>
        <w:t>　　（八）费用结算。</w:t>
      </w:r>
      <w:r>
        <w:rPr>
          <w:rFonts w:hint="eastAsia" w:ascii="宋体" w:hAnsi="宋体" w:eastAsia="宋体" w:cs="宋体"/>
          <w:i w:val="0"/>
          <w:iCs w:val="0"/>
          <w:caps w:val="0"/>
          <w:color w:val="4F4F4F"/>
          <w:spacing w:val="0"/>
          <w:sz w:val="28"/>
          <w:szCs w:val="28"/>
          <w:bdr w:val="none" w:color="auto" w:sz="0" w:space="0"/>
        </w:rPr>
        <w:t>公共机构按照预算管理有关规定，将托管费用列入单位预算。公共机构按照托管项目合同约定支付给节能服务公司的托管费用，视同能源资源及运维费用。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0" w:lineRule="atLeast"/>
        <w:ind w:left="0" w:right="0"/>
        <w:jc w:val="both"/>
        <w:rPr>
          <w:rFonts w:hint="eastAsia" w:ascii="宋体" w:hAnsi="宋体" w:eastAsia="宋体" w:cs="宋体"/>
          <w:sz w:val="28"/>
          <w:szCs w:val="28"/>
        </w:rPr>
      </w:pPr>
      <w:r>
        <w:rPr>
          <w:rFonts w:hint="eastAsia" w:ascii="宋体" w:hAnsi="宋体" w:eastAsia="宋体" w:cs="宋体"/>
          <w:b/>
          <w:bCs/>
          <w:i w:val="0"/>
          <w:iCs w:val="0"/>
          <w:caps w:val="0"/>
          <w:color w:val="4F4F4F"/>
          <w:spacing w:val="0"/>
          <w:sz w:val="28"/>
          <w:szCs w:val="28"/>
          <w:bdr w:val="none" w:color="auto" w:sz="0" w:space="0"/>
        </w:rPr>
        <w:t>　　四、切实保障采用能源费用托管服务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0" w:lineRule="atLeast"/>
        <w:ind w:left="0" w:right="0"/>
        <w:jc w:val="both"/>
        <w:rPr>
          <w:rFonts w:hint="eastAsia" w:ascii="宋体" w:hAnsi="宋体" w:eastAsia="宋体" w:cs="宋体"/>
          <w:sz w:val="28"/>
          <w:szCs w:val="28"/>
        </w:rPr>
      </w:pPr>
      <w:r>
        <w:rPr>
          <w:rFonts w:hint="eastAsia" w:ascii="宋体" w:hAnsi="宋体" w:eastAsia="宋体" w:cs="宋体"/>
          <w:b/>
          <w:bCs/>
          <w:i w:val="0"/>
          <w:iCs w:val="0"/>
          <w:caps w:val="0"/>
          <w:color w:val="4F4F4F"/>
          <w:spacing w:val="0"/>
          <w:sz w:val="28"/>
          <w:szCs w:val="28"/>
          <w:bdr w:val="none" w:color="auto" w:sz="0" w:space="0"/>
        </w:rPr>
        <w:t>　　（一）加强组织领导。</w:t>
      </w:r>
      <w:r>
        <w:rPr>
          <w:rFonts w:hint="eastAsia" w:ascii="宋体" w:hAnsi="宋体" w:eastAsia="宋体" w:cs="宋体"/>
          <w:i w:val="0"/>
          <w:iCs w:val="0"/>
          <w:caps w:val="0"/>
          <w:color w:val="4F4F4F"/>
          <w:spacing w:val="0"/>
          <w:sz w:val="28"/>
          <w:szCs w:val="28"/>
          <w:bdr w:val="none" w:color="auto" w:sz="0" w:space="0"/>
        </w:rPr>
        <w:t>县级以上地方各级机关事务管理、发展改革、财政部门要加强沟通协调，采取有效措施，形成工作合力，指导和推进本地区公共机构采用能源费用托管服务。教育、科技、文化、卫生、体育等系统主管部门在同级机关事务管理部门指导下，推进本级系统内公共机构采用能源费用托管服务。公共机构及其工作人员要遵守廉洁纪律，不得收受节能服务公司提供的礼品、礼金、消费卡和有价证券等。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0" w:lineRule="atLeast"/>
        <w:ind w:left="0" w:right="0"/>
        <w:jc w:val="both"/>
        <w:rPr>
          <w:rFonts w:hint="eastAsia" w:ascii="宋体" w:hAnsi="宋体" w:eastAsia="宋体" w:cs="宋体"/>
          <w:sz w:val="28"/>
          <w:szCs w:val="28"/>
        </w:rPr>
      </w:pPr>
      <w:r>
        <w:rPr>
          <w:rFonts w:hint="eastAsia" w:ascii="宋体" w:hAnsi="宋体" w:eastAsia="宋体" w:cs="宋体"/>
          <w:b/>
          <w:bCs/>
          <w:i w:val="0"/>
          <w:iCs w:val="0"/>
          <w:caps w:val="0"/>
          <w:color w:val="4F4F4F"/>
          <w:spacing w:val="0"/>
          <w:sz w:val="28"/>
          <w:szCs w:val="28"/>
          <w:bdr w:val="none" w:color="auto" w:sz="0" w:space="0"/>
        </w:rPr>
        <w:t>　　（二）强化示范引领。</w:t>
      </w:r>
      <w:r>
        <w:rPr>
          <w:rFonts w:hint="eastAsia" w:ascii="宋体" w:hAnsi="宋体" w:eastAsia="宋体" w:cs="宋体"/>
          <w:i w:val="0"/>
          <w:iCs w:val="0"/>
          <w:caps w:val="0"/>
          <w:color w:val="4F4F4F"/>
          <w:spacing w:val="0"/>
          <w:sz w:val="28"/>
          <w:szCs w:val="28"/>
          <w:bdr w:val="none" w:color="auto" w:sz="0" w:space="0"/>
        </w:rPr>
        <w:t>省级以上机关事务管理部门要会同发展改革、财政部门，总结已采用能源费用托管服务公共机构的可复制、可推广经验做法，选取一批节能空间大的公共机构开展试点示范，发挥典型引路作用。将采用能源费用托管服务情况纳入公共机构节约能源资源评价考核，突出鼓励导向。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0" w:lineRule="atLeast"/>
        <w:ind w:left="0" w:right="0"/>
        <w:jc w:val="both"/>
        <w:rPr>
          <w:rFonts w:hint="eastAsia" w:ascii="宋体" w:hAnsi="宋体" w:eastAsia="宋体" w:cs="宋体"/>
          <w:sz w:val="28"/>
          <w:szCs w:val="28"/>
        </w:rPr>
      </w:pPr>
      <w:r>
        <w:rPr>
          <w:rFonts w:hint="eastAsia" w:ascii="宋体" w:hAnsi="宋体" w:eastAsia="宋体" w:cs="宋体"/>
          <w:b/>
          <w:bCs/>
          <w:i w:val="0"/>
          <w:iCs w:val="0"/>
          <w:caps w:val="0"/>
          <w:color w:val="4F4F4F"/>
          <w:spacing w:val="0"/>
          <w:sz w:val="28"/>
          <w:szCs w:val="28"/>
          <w:bdr w:val="none" w:color="auto" w:sz="0" w:space="0"/>
        </w:rPr>
        <w:t>　　（三）做好宣传引导。</w:t>
      </w:r>
      <w:r>
        <w:rPr>
          <w:rFonts w:hint="eastAsia" w:ascii="宋体" w:hAnsi="宋体" w:eastAsia="宋体" w:cs="宋体"/>
          <w:i w:val="0"/>
          <w:iCs w:val="0"/>
          <w:caps w:val="0"/>
          <w:color w:val="4F4F4F"/>
          <w:spacing w:val="0"/>
          <w:sz w:val="28"/>
          <w:szCs w:val="28"/>
          <w:bdr w:val="none" w:color="auto" w:sz="0" w:space="0"/>
        </w:rPr>
        <w:t>加强公共机构能源费用托管服务政策宣传，解读相关制度标准。及时发布公共机构能源费用托管服务相关信息，宣传推广优秀能源费用托管服务案例，充分利用各类媒体平台，提升传播力和影响力，增强公共机构和节能服务公司参与的积极性和获得感。</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panose1 w:val="03000509000000000000"/>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M0OGU3ZGRkYzJhNjU2NjdlYzA1YjI2OTA2ZDkxMzYifQ=="/>
  </w:docVars>
  <w:rsids>
    <w:rsidRoot w:val="00000000"/>
    <w:rsid w:val="0724203C"/>
    <w:rsid w:val="5092563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Hyperlink"/>
    <w:basedOn w:val="5"/>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dcterms:modified xsi:type="dcterms:W3CDTF">2022-09-23T03:21:31Z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34B8A50C1E5A4F1596858A791916FF32</vt:lpwstr>
  </property>
</Properties>
</file>